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9B1440" w:rsidRDefault="009B1440" w:rsidP="009B1440">
      <w:pPr>
        <w:ind w:left="1440" w:hanging="1440"/>
        <w:rPr>
          <w:sz w:val="40"/>
        </w:rPr>
      </w:pPr>
    </w:p>
    <w:p w14:paraId="0A37501D" w14:textId="77777777" w:rsidR="009B1440" w:rsidRDefault="009B1440" w:rsidP="009B1440">
      <w:pPr>
        <w:ind w:left="1440" w:hanging="1440"/>
        <w:rPr>
          <w:sz w:val="40"/>
        </w:rPr>
      </w:pPr>
    </w:p>
    <w:p w14:paraId="466321E9" w14:textId="25A72A8C" w:rsidR="009B1440" w:rsidRDefault="00F66ED7" w:rsidP="009B1440">
      <w:pPr>
        <w:ind w:left="1440" w:hanging="1440"/>
        <w:rPr>
          <w:color w:val="0066CC"/>
          <w:sz w:val="40"/>
        </w:rPr>
      </w:pPr>
      <w:r>
        <w:rPr>
          <w:noProof/>
          <w:color w:val="0066CC"/>
        </w:rPr>
        <w:drawing>
          <wp:anchor distT="0" distB="0" distL="114300" distR="114300" simplePos="0" relativeHeight="251657728" behindDoc="0" locked="0" layoutInCell="1" allowOverlap="1" wp14:anchorId="6849C47F" wp14:editId="07777777">
            <wp:simplePos x="0" y="0"/>
            <wp:positionH relativeFrom="margin">
              <wp:align>left</wp:align>
            </wp:positionH>
            <wp:positionV relativeFrom="margin">
              <wp:align>top</wp:align>
            </wp:positionV>
            <wp:extent cx="895350" cy="1143000"/>
            <wp:effectExtent l="0" t="0" r="0" b="0"/>
            <wp:wrapSquare wrapText="bothSides"/>
            <wp:docPr id="2" name="Picture 0" descr="AP3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P3A Logo.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95350" cy="1143000"/>
                    </a:xfrm>
                    <a:prstGeom prst="rect">
                      <a:avLst/>
                    </a:prstGeom>
                    <a:noFill/>
                    <a:ln>
                      <a:noFill/>
                    </a:ln>
                  </pic:spPr>
                </pic:pic>
              </a:graphicData>
            </a:graphic>
            <wp14:sizeRelH relativeFrom="page">
              <wp14:pctWidth>0</wp14:pctWidth>
            </wp14:sizeRelH>
            <wp14:sizeRelV relativeFrom="page">
              <wp14:pctHeight>0</wp14:pctHeight>
            </wp14:sizeRelV>
          </wp:anchor>
        </w:drawing>
      </w:r>
      <w:r w:rsidR="009B1440" w:rsidRPr="00746D61">
        <w:rPr>
          <w:color w:val="0066CC"/>
          <w:sz w:val="40"/>
        </w:rPr>
        <w:t>Arch</w:t>
      </w:r>
      <w:r w:rsidR="004E636C">
        <w:rPr>
          <w:color w:val="0066CC"/>
          <w:sz w:val="40"/>
        </w:rPr>
        <w:t>a</w:t>
      </w:r>
      <w:r w:rsidR="009B1440" w:rsidRPr="00746D61">
        <w:rPr>
          <w:color w:val="0066CC"/>
          <w:sz w:val="40"/>
        </w:rPr>
        <w:t>eological Papers of the American Anthropological Association</w:t>
      </w:r>
    </w:p>
    <w:p w14:paraId="5DAB6C7B" w14:textId="77777777" w:rsidR="009B1440" w:rsidRDefault="009B1440" w:rsidP="009B1440">
      <w:pPr>
        <w:ind w:left="1440" w:hanging="1440"/>
        <w:rPr>
          <w:color w:val="0066CC"/>
          <w:sz w:val="40"/>
        </w:rPr>
      </w:pPr>
    </w:p>
    <w:p w14:paraId="02EB378F" w14:textId="77777777" w:rsidR="00F16F01" w:rsidRDefault="00F16F01" w:rsidP="009B1440">
      <w:pPr>
        <w:ind w:left="1440" w:hanging="1440"/>
        <w:rPr>
          <w:color w:val="0066CC"/>
          <w:sz w:val="40"/>
        </w:rPr>
      </w:pPr>
    </w:p>
    <w:p w14:paraId="6A05A809" w14:textId="77777777" w:rsidR="009B1440" w:rsidRDefault="009B1440" w:rsidP="009B1440">
      <w:pPr>
        <w:ind w:left="1440" w:hanging="1440"/>
        <w:rPr>
          <w:color w:val="0066CC"/>
          <w:sz w:val="40"/>
        </w:rPr>
      </w:pPr>
    </w:p>
    <w:p w14:paraId="64BE7E6B" w14:textId="77777777" w:rsidR="009B1440" w:rsidRDefault="009B1440" w:rsidP="009B1440">
      <w:pPr>
        <w:jc w:val="center"/>
        <w:rPr>
          <w:b/>
          <w:sz w:val="28"/>
        </w:rPr>
      </w:pPr>
      <w:r w:rsidRPr="00AE2FD6">
        <w:rPr>
          <w:b/>
          <w:sz w:val="28"/>
        </w:rPr>
        <w:t>PROSPECTUS GUIDELINES</w:t>
      </w:r>
    </w:p>
    <w:p w14:paraId="5C496916" w14:textId="76AFF470" w:rsidR="00F16F01" w:rsidRPr="0081004F" w:rsidRDefault="0868C258" w:rsidP="0868C258">
      <w:pPr>
        <w:jc w:val="center"/>
        <w:rPr>
          <w:sz w:val="28"/>
          <w:szCs w:val="28"/>
        </w:rPr>
      </w:pPr>
      <w:r w:rsidRPr="0868C258">
        <w:rPr>
          <w:sz w:val="28"/>
          <w:szCs w:val="28"/>
        </w:rPr>
        <w:t xml:space="preserve">(revised </w:t>
      </w:r>
      <w:r w:rsidR="00626989">
        <w:rPr>
          <w:sz w:val="28"/>
          <w:szCs w:val="28"/>
        </w:rPr>
        <w:t>February 2</w:t>
      </w:r>
      <w:r w:rsidR="00A7011A">
        <w:rPr>
          <w:sz w:val="28"/>
          <w:szCs w:val="28"/>
        </w:rPr>
        <w:t>, 2026</w:t>
      </w:r>
      <w:r w:rsidRPr="0868C258">
        <w:rPr>
          <w:sz w:val="28"/>
          <w:szCs w:val="28"/>
        </w:rPr>
        <w:t>)</w:t>
      </w:r>
    </w:p>
    <w:p w14:paraId="5A39BBE3" w14:textId="77777777" w:rsidR="009B1440" w:rsidRDefault="009B1440" w:rsidP="009B1440">
      <w:pPr>
        <w:jc w:val="center"/>
        <w:rPr>
          <w:sz w:val="28"/>
        </w:rPr>
      </w:pPr>
    </w:p>
    <w:p w14:paraId="095DF8BF" w14:textId="191802FF" w:rsidR="00F16F01" w:rsidRPr="002F400D" w:rsidRDefault="009B1440" w:rsidP="00626989">
      <w:pPr>
        <w:rPr>
          <w:sz w:val="22"/>
        </w:rPr>
      </w:pPr>
      <w:r w:rsidRPr="00626989">
        <w:rPr>
          <w:sz w:val="22"/>
        </w:rPr>
        <w:t xml:space="preserve">Potential contributors are invited to contact the Publications Director prior to submission to discuss the suitability of a proposed volume for the series. </w:t>
      </w:r>
      <w:r w:rsidRPr="00626989">
        <w:rPr>
          <w:b/>
          <w:bCs/>
          <w:i/>
          <w:sz w:val="22"/>
        </w:rPr>
        <w:t>Arch</w:t>
      </w:r>
      <w:r w:rsidR="004E636C">
        <w:rPr>
          <w:b/>
          <w:bCs/>
          <w:i/>
          <w:sz w:val="22"/>
        </w:rPr>
        <w:t>a</w:t>
      </w:r>
      <w:r w:rsidRPr="00626989">
        <w:rPr>
          <w:b/>
          <w:bCs/>
          <w:i/>
          <w:sz w:val="22"/>
        </w:rPr>
        <w:t>eological Papers of the American Anthropological Association</w:t>
      </w:r>
      <w:r w:rsidRPr="00626989">
        <w:rPr>
          <w:b/>
          <w:bCs/>
          <w:sz w:val="22"/>
        </w:rPr>
        <w:t xml:space="preserve"> </w:t>
      </w:r>
      <w:r w:rsidR="00156A88" w:rsidRPr="00626989">
        <w:rPr>
          <w:b/>
          <w:bCs/>
          <w:sz w:val="22"/>
        </w:rPr>
        <w:t xml:space="preserve">is </w:t>
      </w:r>
      <w:r w:rsidR="00626989" w:rsidRPr="00626989">
        <w:rPr>
          <w:b/>
          <w:bCs/>
          <w:sz w:val="22"/>
        </w:rPr>
        <w:t>currently reviewing presses for a new publisher for this series. Therefore, details such as the levels of review listed below and dates of submission are subject to change.</w:t>
      </w:r>
      <w:r w:rsidR="00626989">
        <w:rPr>
          <w:sz w:val="22"/>
        </w:rPr>
        <w:t xml:space="preserve"> </w:t>
      </w:r>
    </w:p>
    <w:p w14:paraId="41C8F396" w14:textId="77777777" w:rsidR="009B1440" w:rsidRPr="002F400D" w:rsidRDefault="009B1440" w:rsidP="009B1440">
      <w:pPr>
        <w:rPr>
          <w:sz w:val="22"/>
        </w:rPr>
      </w:pPr>
    </w:p>
    <w:p w14:paraId="7C525614" w14:textId="76B6BD2B" w:rsidR="009B1440" w:rsidRPr="002F400D" w:rsidRDefault="004E0018" w:rsidP="009B1440">
      <w:pPr>
        <w:rPr>
          <w:sz w:val="22"/>
        </w:rPr>
      </w:pPr>
      <w:r w:rsidRPr="004E0018">
        <w:rPr>
          <w:i/>
          <w:iCs/>
          <w:sz w:val="22"/>
        </w:rPr>
        <w:t>While the current procedure for submission of a proposed volume will be dependent on the selected press, the procedure will be similar to t</w:t>
      </w:r>
      <w:r w:rsidR="009B1440" w:rsidRPr="004E0018">
        <w:rPr>
          <w:i/>
          <w:iCs/>
          <w:sz w:val="22"/>
        </w:rPr>
        <w:t>h</w:t>
      </w:r>
      <w:r w:rsidRPr="004E0018">
        <w:rPr>
          <w:i/>
          <w:iCs/>
          <w:sz w:val="22"/>
        </w:rPr>
        <w:t>e most recent procedure for submission (2025</w:t>
      </w:r>
      <w:r>
        <w:rPr>
          <w:sz w:val="22"/>
        </w:rPr>
        <w:t>). The most recent procedure (2025) includes</w:t>
      </w:r>
      <w:r w:rsidR="009B1440" w:rsidRPr="002F400D">
        <w:rPr>
          <w:sz w:val="22"/>
        </w:rPr>
        <w:t xml:space="preserve"> two levels of review for publication in </w:t>
      </w:r>
      <w:r w:rsidR="009B1440" w:rsidRPr="002F400D">
        <w:rPr>
          <w:i/>
          <w:sz w:val="22"/>
        </w:rPr>
        <w:t>Arch</w:t>
      </w:r>
      <w:r w:rsidR="004E636C">
        <w:rPr>
          <w:i/>
          <w:sz w:val="22"/>
        </w:rPr>
        <w:t>a</w:t>
      </w:r>
      <w:r w:rsidR="009B1440" w:rsidRPr="002F400D">
        <w:rPr>
          <w:i/>
          <w:sz w:val="22"/>
        </w:rPr>
        <w:t>eological Papers of the American Anthropological Association (AP3A)</w:t>
      </w:r>
      <w:r>
        <w:rPr>
          <w:iCs/>
          <w:sz w:val="22"/>
        </w:rPr>
        <w:t xml:space="preserve"> are the following</w:t>
      </w:r>
      <w:r w:rsidR="009B1440" w:rsidRPr="002F400D">
        <w:rPr>
          <w:sz w:val="22"/>
        </w:rPr>
        <w:t>:</w:t>
      </w:r>
    </w:p>
    <w:p w14:paraId="72A3D3EC" w14:textId="77777777" w:rsidR="009B1440" w:rsidRPr="002F400D" w:rsidRDefault="009B1440" w:rsidP="009B1440">
      <w:pPr>
        <w:rPr>
          <w:sz w:val="22"/>
        </w:rPr>
      </w:pPr>
    </w:p>
    <w:p w14:paraId="51D94747" w14:textId="5B841FC4" w:rsidR="009B1440" w:rsidRPr="002F400D" w:rsidRDefault="009B1440" w:rsidP="009B1440">
      <w:pPr>
        <w:rPr>
          <w:sz w:val="22"/>
        </w:rPr>
      </w:pPr>
      <w:r w:rsidRPr="002F400D">
        <w:rPr>
          <w:sz w:val="22"/>
        </w:rPr>
        <w:t xml:space="preserve">1.  </w:t>
      </w:r>
      <w:r w:rsidRPr="002F400D">
        <w:rPr>
          <w:sz w:val="22"/>
          <w:u w:val="single"/>
        </w:rPr>
        <w:t>Prospectus</w:t>
      </w:r>
      <w:r w:rsidRPr="002F400D">
        <w:rPr>
          <w:sz w:val="22"/>
        </w:rPr>
        <w:t xml:space="preserve">:  Anyone interested in publishing with </w:t>
      </w:r>
      <w:r w:rsidRPr="002F400D">
        <w:rPr>
          <w:i/>
          <w:sz w:val="22"/>
        </w:rPr>
        <w:t>Arch</w:t>
      </w:r>
      <w:r w:rsidR="004E636C">
        <w:rPr>
          <w:i/>
          <w:sz w:val="22"/>
        </w:rPr>
        <w:t>a</w:t>
      </w:r>
      <w:r w:rsidRPr="002F400D">
        <w:rPr>
          <w:i/>
          <w:sz w:val="22"/>
        </w:rPr>
        <w:t xml:space="preserve">eological Papers of the American Anthropological Association </w:t>
      </w:r>
      <w:r w:rsidRPr="002F400D">
        <w:rPr>
          <w:sz w:val="22"/>
        </w:rPr>
        <w:t xml:space="preserve">must submit a formal prospectus following the guidelines outlined below. The AD Publications Committee (Publications Director, President Elect, and two Archaeology Division Board members) reviews the prospectus and subsequently makes a recommendation to the Executive Committee of the </w:t>
      </w:r>
      <w:r w:rsidR="004E636C">
        <w:rPr>
          <w:sz w:val="22"/>
        </w:rPr>
        <w:t>Archaeology</w:t>
      </w:r>
      <w:r w:rsidRPr="002F400D">
        <w:rPr>
          <w:sz w:val="22"/>
        </w:rPr>
        <w:t xml:space="preserve"> Division of the AAA. </w:t>
      </w:r>
      <w:r w:rsidRPr="002F400D">
        <w:rPr>
          <w:i/>
          <w:sz w:val="22"/>
        </w:rPr>
        <w:t>A decision to request a full manuscript, based on the prospectus, is only a provisional acceptance, and the proposed volume is subject to final acceptance after receipt and review of the complete manuscript</w:t>
      </w:r>
      <w:proofErr w:type="gramStart"/>
      <w:r w:rsidRPr="002F400D">
        <w:rPr>
          <w:i/>
          <w:sz w:val="22"/>
        </w:rPr>
        <w:t>.</w:t>
      </w:r>
      <w:r w:rsidRPr="002F400D">
        <w:rPr>
          <w:sz w:val="22"/>
        </w:rPr>
        <w:t xml:space="preserve">  </w:t>
      </w:r>
      <w:proofErr w:type="gramEnd"/>
    </w:p>
    <w:p w14:paraId="0D0B940D" w14:textId="77777777" w:rsidR="009B1440" w:rsidRPr="002F400D" w:rsidRDefault="009B1440" w:rsidP="009B1440">
      <w:pPr>
        <w:rPr>
          <w:sz w:val="22"/>
        </w:rPr>
      </w:pPr>
    </w:p>
    <w:p w14:paraId="0758FC1E" w14:textId="1F763DF7" w:rsidR="009B1440" w:rsidRPr="002F400D" w:rsidRDefault="009B1440" w:rsidP="009B1440">
      <w:pPr>
        <w:rPr>
          <w:sz w:val="22"/>
        </w:rPr>
      </w:pPr>
      <w:r w:rsidRPr="002F400D">
        <w:rPr>
          <w:sz w:val="22"/>
        </w:rPr>
        <w:t xml:space="preserve">2.  </w:t>
      </w:r>
      <w:r w:rsidRPr="002F400D">
        <w:rPr>
          <w:sz w:val="22"/>
          <w:u w:val="single"/>
        </w:rPr>
        <w:t>Full Manuscript</w:t>
      </w:r>
      <w:r w:rsidRPr="002F400D">
        <w:rPr>
          <w:sz w:val="22"/>
        </w:rPr>
        <w:t xml:space="preserve">:  The editor(s) or author(s) of the provisionally accepted prospectus are expected to assemble a complete draft manuscript, with full, final versions of all papers or chapters, tables, and near-final drafts of the illustrations by an agreed upon deadline. The full manuscript will be reviewed by the members of the Archaeology Division Editorial Review Committee, which consists of some combination of the Publications Director, the Archaeology Division President-elect, two Archaeology Division board members-at-large, and external, expert reviewers. A minimum of two reviewers examine each manuscript in detail. At this point, a decision will be made to (1) accept the volume; (2) accept the volume pending minor revisions; (3) request significant revisions before accepting the volume; or (4) reject the volume. Comments from the Review Committee members are collated and summarized by the Publications Director, who communicates with the volume editor(s) or volume author(s).  </w:t>
      </w:r>
    </w:p>
    <w:p w14:paraId="0E27B00A" w14:textId="77777777" w:rsidR="009B1440" w:rsidRPr="002F400D" w:rsidRDefault="009B1440" w:rsidP="009B1440">
      <w:pPr>
        <w:rPr>
          <w:sz w:val="22"/>
        </w:rPr>
      </w:pPr>
    </w:p>
    <w:p w14:paraId="7F367657" w14:textId="1633EA79" w:rsidR="009B1440" w:rsidRDefault="0868C258" w:rsidP="009B1440">
      <w:pPr>
        <w:rPr>
          <w:sz w:val="22"/>
        </w:rPr>
      </w:pPr>
      <w:r w:rsidRPr="0868C258">
        <w:rPr>
          <w:sz w:val="22"/>
        </w:rPr>
        <w:t>After a volume is accepted for publication, the volume author(s)/editor(s) will work with the Publications Director to develop a publication timetable. Information about the production process will be conveyed to the editor(s) or author(s) after the full manuscript has been accepted.</w:t>
      </w:r>
    </w:p>
    <w:p w14:paraId="196E0343" w14:textId="77777777" w:rsidR="001C7357" w:rsidRDefault="001C7357" w:rsidP="009B1440">
      <w:pPr>
        <w:rPr>
          <w:sz w:val="22"/>
        </w:rPr>
      </w:pPr>
    </w:p>
    <w:p w14:paraId="4047B9C3" w14:textId="77777777" w:rsidR="001C7357" w:rsidRDefault="001C7357" w:rsidP="009B1440">
      <w:pPr>
        <w:rPr>
          <w:sz w:val="22"/>
        </w:rPr>
      </w:pPr>
    </w:p>
    <w:p w14:paraId="28183161" w14:textId="77777777" w:rsidR="001C7357" w:rsidRDefault="001C7357" w:rsidP="009B1440">
      <w:pPr>
        <w:rPr>
          <w:sz w:val="22"/>
        </w:rPr>
      </w:pPr>
    </w:p>
    <w:p w14:paraId="797523F3" w14:textId="77777777" w:rsidR="00626989" w:rsidRPr="002F400D" w:rsidRDefault="00626989" w:rsidP="009B1440">
      <w:pPr>
        <w:rPr>
          <w:sz w:val="22"/>
        </w:rPr>
      </w:pPr>
    </w:p>
    <w:p w14:paraId="1E7DC648" w14:textId="77777777" w:rsidR="009B1440" w:rsidRPr="002F400D" w:rsidRDefault="009B1440" w:rsidP="009B1440">
      <w:pPr>
        <w:rPr>
          <w:b/>
          <w:sz w:val="22"/>
          <w:u w:val="single"/>
        </w:rPr>
      </w:pPr>
      <w:r w:rsidRPr="002F400D">
        <w:rPr>
          <w:b/>
          <w:sz w:val="22"/>
          <w:u w:val="single"/>
        </w:rPr>
        <w:t>PROSPECTUS CONTENTS</w:t>
      </w:r>
    </w:p>
    <w:p w14:paraId="60061E4C" w14:textId="77777777" w:rsidR="009B1440" w:rsidRPr="002F400D" w:rsidRDefault="009B1440" w:rsidP="009B1440">
      <w:pPr>
        <w:rPr>
          <w:b/>
          <w:sz w:val="22"/>
        </w:rPr>
      </w:pPr>
    </w:p>
    <w:p w14:paraId="2C9CD875" w14:textId="77777777" w:rsidR="009B1440" w:rsidRPr="002F400D" w:rsidRDefault="009B1440" w:rsidP="009B1440">
      <w:pPr>
        <w:rPr>
          <w:b/>
          <w:sz w:val="22"/>
        </w:rPr>
      </w:pPr>
      <w:r w:rsidRPr="002F400D">
        <w:rPr>
          <w:b/>
          <w:sz w:val="22"/>
        </w:rPr>
        <w:t>I.  Title and Authors/Editors</w:t>
      </w:r>
    </w:p>
    <w:p w14:paraId="4A0C7B74" w14:textId="77777777" w:rsidR="009B1440" w:rsidRPr="002F400D" w:rsidRDefault="009B1440" w:rsidP="009B1440">
      <w:pPr>
        <w:rPr>
          <w:sz w:val="22"/>
        </w:rPr>
      </w:pPr>
      <w:r w:rsidRPr="002F400D">
        <w:rPr>
          <w:sz w:val="22"/>
        </w:rPr>
        <w:t xml:space="preserve">(n.b. CVs of principal authors or editors are </w:t>
      </w:r>
      <w:r w:rsidRPr="002F400D">
        <w:rPr>
          <w:b/>
          <w:sz w:val="22"/>
        </w:rPr>
        <w:t>not</w:t>
      </w:r>
      <w:r w:rsidRPr="002F400D">
        <w:rPr>
          <w:sz w:val="22"/>
        </w:rPr>
        <w:t xml:space="preserve"> required.)</w:t>
      </w:r>
    </w:p>
    <w:p w14:paraId="44EAFD9C" w14:textId="77777777" w:rsidR="009B1440" w:rsidRPr="002F400D" w:rsidRDefault="009B1440" w:rsidP="009B1440">
      <w:pPr>
        <w:rPr>
          <w:b/>
          <w:sz w:val="22"/>
        </w:rPr>
      </w:pPr>
    </w:p>
    <w:p w14:paraId="3A3F1CC1" w14:textId="77777777" w:rsidR="009B1440" w:rsidRPr="002F400D" w:rsidRDefault="009B1440" w:rsidP="009B1440">
      <w:pPr>
        <w:keepNext/>
        <w:keepLines/>
        <w:rPr>
          <w:b/>
          <w:sz w:val="22"/>
        </w:rPr>
      </w:pPr>
      <w:r w:rsidRPr="002F400D">
        <w:rPr>
          <w:b/>
          <w:sz w:val="22"/>
        </w:rPr>
        <w:t>II. Table of Contents</w:t>
      </w:r>
    </w:p>
    <w:p w14:paraId="2B27EE95" w14:textId="77777777" w:rsidR="009B1440" w:rsidRPr="002F400D" w:rsidRDefault="009B1440" w:rsidP="009B1440">
      <w:pPr>
        <w:keepNext/>
        <w:keepLines/>
        <w:rPr>
          <w:sz w:val="22"/>
        </w:rPr>
      </w:pPr>
      <w:r w:rsidRPr="002F400D">
        <w:rPr>
          <w:sz w:val="22"/>
        </w:rPr>
        <w:t>The list of contributions is expected to be complete at the time the prospectus is submitted.  We cannot adequately evaluate a prospectus based on a “preliminary” set of titles and/or contributors.</w:t>
      </w:r>
    </w:p>
    <w:p w14:paraId="4B94D5A5" w14:textId="77777777" w:rsidR="009B1440" w:rsidRPr="002F400D" w:rsidRDefault="009B1440" w:rsidP="009B1440">
      <w:pPr>
        <w:rPr>
          <w:b/>
          <w:sz w:val="22"/>
        </w:rPr>
      </w:pPr>
    </w:p>
    <w:p w14:paraId="3F81CCA0" w14:textId="77777777" w:rsidR="009B1440" w:rsidRPr="002F400D" w:rsidRDefault="009B1440" w:rsidP="009B1440">
      <w:pPr>
        <w:rPr>
          <w:b/>
          <w:sz w:val="22"/>
        </w:rPr>
      </w:pPr>
      <w:r w:rsidRPr="002F400D">
        <w:rPr>
          <w:b/>
          <w:sz w:val="22"/>
        </w:rPr>
        <w:t xml:space="preserve">III. Volume Content/Overview </w:t>
      </w:r>
    </w:p>
    <w:p w14:paraId="39EE2444" w14:textId="77777777" w:rsidR="009B1440" w:rsidRPr="002F400D" w:rsidRDefault="009B1440" w:rsidP="009B1440">
      <w:pPr>
        <w:rPr>
          <w:sz w:val="22"/>
        </w:rPr>
      </w:pPr>
      <w:r w:rsidRPr="002F400D">
        <w:rPr>
          <w:sz w:val="22"/>
        </w:rPr>
        <w:t>Describe in concise, clear language:</w:t>
      </w:r>
    </w:p>
    <w:p w14:paraId="5B43A10A" w14:textId="77777777" w:rsidR="009B1440" w:rsidRPr="002F400D" w:rsidRDefault="009B1440" w:rsidP="009B1440">
      <w:pPr>
        <w:numPr>
          <w:ilvl w:val="0"/>
          <w:numId w:val="1"/>
        </w:numPr>
        <w:tabs>
          <w:tab w:val="clear" w:pos="360"/>
        </w:tabs>
        <w:rPr>
          <w:sz w:val="22"/>
        </w:rPr>
      </w:pPr>
      <w:r w:rsidRPr="002F400D">
        <w:rPr>
          <w:sz w:val="22"/>
        </w:rPr>
        <w:t>The content of the work. What is it about? Describe the subject and major argument or approach of the manuscript.</w:t>
      </w:r>
    </w:p>
    <w:p w14:paraId="19C2CBF5" w14:textId="77777777" w:rsidR="009B1440" w:rsidRPr="002F400D" w:rsidRDefault="009B1440" w:rsidP="009B1440">
      <w:pPr>
        <w:numPr>
          <w:ilvl w:val="0"/>
          <w:numId w:val="1"/>
        </w:numPr>
        <w:tabs>
          <w:tab w:val="clear" w:pos="360"/>
        </w:tabs>
        <w:rPr>
          <w:sz w:val="22"/>
        </w:rPr>
      </w:pPr>
      <w:r w:rsidRPr="002F400D">
        <w:rPr>
          <w:sz w:val="22"/>
        </w:rPr>
        <w:t>The scholarly significance and context of the work. Why does it need to be published? Why would anyone care to read it? How does it connect to and depart from current scholarship in this area?</w:t>
      </w:r>
    </w:p>
    <w:p w14:paraId="1507C5EA" w14:textId="77777777" w:rsidR="009B1440" w:rsidRPr="002F400D" w:rsidRDefault="009B1440" w:rsidP="009B1440">
      <w:pPr>
        <w:numPr>
          <w:ilvl w:val="0"/>
          <w:numId w:val="1"/>
        </w:numPr>
        <w:tabs>
          <w:tab w:val="clear" w:pos="360"/>
        </w:tabs>
        <w:rPr>
          <w:sz w:val="22"/>
        </w:rPr>
      </w:pPr>
      <w:r w:rsidRPr="002F400D">
        <w:rPr>
          <w:sz w:val="22"/>
        </w:rPr>
        <w:t>How does the manuscript make a significant contribution to the literature?</w:t>
      </w:r>
    </w:p>
    <w:p w14:paraId="25C3CB63" w14:textId="77777777" w:rsidR="009B1440" w:rsidRPr="002F400D" w:rsidRDefault="009B1440" w:rsidP="009B1440">
      <w:pPr>
        <w:numPr>
          <w:ilvl w:val="0"/>
          <w:numId w:val="1"/>
        </w:numPr>
        <w:tabs>
          <w:tab w:val="clear" w:pos="360"/>
        </w:tabs>
        <w:rPr>
          <w:sz w:val="22"/>
        </w:rPr>
      </w:pPr>
      <w:r w:rsidRPr="002F400D">
        <w:rPr>
          <w:sz w:val="22"/>
        </w:rPr>
        <w:t>The organizational plan behind the work. How does the work cohere as a whole? How do the chapters/articles connect to one another? This issue is particularly critical for any edited volume.</w:t>
      </w:r>
    </w:p>
    <w:p w14:paraId="3DEEC669" w14:textId="77777777" w:rsidR="009B1440" w:rsidRPr="002F400D" w:rsidRDefault="009B1440" w:rsidP="009B1440">
      <w:pPr>
        <w:rPr>
          <w:sz w:val="22"/>
        </w:rPr>
      </w:pPr>
    </w:p>
    <w:p w14:paraId="68BC43AE" w14:textId="77777777" w:rsidR="009B1440" w:rsidRPr="002F400D" w:rsidRDefault="009B1440" w:rsidP="009B1440">
      <w:pPr>
        <w:keepNext/>
        <w:keepLines/>
        <w:rPr>
          <w:sz w:val="22"/>
        </w:rPr>
      </w:pPr>
      <w:r w:rsidRPr="002F400D">
        <w:rPr>
          <w:b/>
          <w:sz w:val="22"/>
        </w:rPr>
        <w:t>IV. Fit with the Series’ List of Publications</w:t>
      </w:r>
    </w:p>
    <w:p w14:paraId="7B947095" w14:textId="4937A4B6" w:rsidR="009B1440" w:rsidRPr="002F400D" w:rsidRDefault="009B1440" w:rsidP="009B1440">
      <w:pPr>
        <w:keepNext/>
        <w:keepLines/>
        <w:rPr>
          <w:sz w:val="22"/>
        </w:rPr>
      </w:pPr>
      <w:r w:rsidRPr="002F400D">
        <w:rPr>
          <w:sz w:val="22"/>
        </w:rPr>
        <w:t>Briefly explain how the proposed work would fit in with the</w:t>
      </w:r>
      <w:r w:rsidR="004E0018">
        <w:rPr>
          <w:sz w:val="22"/>
        </w:rPr>
        <w:t xml:space="preserve"> most recent</w:t>
      </w:r>
      <w:r w:rsidRPr="002F400D">
        <w:rPr>
          <w:sz w:val="22"/>
        </w:rPr>
        <w:t xml:space="preserve"> publishing strategy and efforts of </w:t>
      </w:r>
      <w:r w:rsidRPr="002F400D">
        <w:rPr>
          <w:i/>
          <w:sz w:val="22"/>
        </w:rPr>
        <w:t>Arch</w:t>
      </w:r>
      <w:r w:rsidR="004E636C">
        <w:rPr>
          <w:i/>
          <w:sz w:val="22"/>
        </w:rPr>
        <w:t>a</w:t>
      </w:r>
      <w:r w:rsidRPr="002F400D">
        <w:rPr>
          <w:i/>
          <w:sz w:val="22"/>
        </w:rPr>
        <w:t>eological Papers of the American Anthropological Association</w:t>
      </w:r>
      <w:r w:rsidRPr="002F400D">
        <w:rPr>
          <w:sz w:val="22"/>
        </w:rPr>
        <w:t xml:space="preserve">. Does </w:t>
      </w:r>
      <w:r w:rsidRPr="002F400D">
        <w:rPr>
          <w:i/>
          <w:sz w:val="22"/>
        </w:rPr>
        <w:t xml:space="preserve">AP3A </w:t>
      </w:r>
      <w:r w:rsidRPr="002F400D">
        <w:rPr>
          <w:sz w:val="22"/>
        </w:rPr>
        <w:t xml:space="preserve"> publish in the subject matter covered by the proposed book?  You may look at past issues of the series on </w:t>
      </w:r>
      <w:proofErr w:type="spellStart"/>
      <w:r w:rsidRPr="002F400D">
        <w:rPr>
          <w:sz w:val="22"/>
        </w:rPr>
        <w:t>Anthrosource</w:t>
      </w:r>
      <w:proofErr w:type="spellEnd"/>
      <w:r w:rsidRPr="002F400D">
        <w:rPr>
          <w:sz w:val="22"/>
        </w:rPr>
        <w:t xml:space="preserve"> (</w:t>
      </w:r>
      <w:r w:rsidR="00B3361C" w:rsidRPr="00B3361C">
        <w:rPr>
          <w:sz w:val="22"/>
        </w:rPr>
        <w:t>https://anthrosource.onlinelibrary.wiley.com/journal/15518248</w:t>
      </w:r>
      <w:r w:rsidRPr="002F400D">
        <w:rPr>
          <w:sz w:val="22"/>
        </w:rPr>
        <w:t>).</w:t>
      </w:r>
    </w:p>
    <w:p w14:paraId="3656B9AB" w14:textId="77777777" w:rsidR="009B1440" w:rsidRPr="002F400D" w:rsidRDefault="009B1440" w:rsidP="009B1440">
      <w:pPr>
        <w:rPr>
          <w:sz w:val="22"/>
        </w:rPr>
      </w:pPr>
    </w:p>
    <w:p w14:paraId="1C11FEB6" w14:textId="77777777" w:rsidR="009B1440" w:rsidRPr="002F400D" w:rsidRDefault="009B1440" w:rsidP="009B1440">
      <w:pPr>
        <w:rPr>
          <w:sz w:val="22"/>
        </w:rPr>
      </w:pPr>
      <w:r w:rsidRPr="002F400D">
        <w:rPr>
          <w:b/>
          <w:sz w:val="22"/>
        </w:rPr>
        <w:t>V.  Audience/Market</w:t>
      </w:r>
    </w:p>
    <w:p w14:paraId="2AFA055C" w14:textId="54358E76" w:rsidR="009B1440" w:rsidRPr="002F400D" w:rsidRDefault="009B1440" w:rsidP="009B1440">
      <w:pPr>
        <w:numPr>
          <w:ilvl w:val="0"/>
          <w:numId w:val="2"/>
        </w:numPr>
        <w:tabs>
          <w:tab w:val="clear" w:pos="720"/>
          <w:tab w:val="num" w:pos="360"/>
        </w:tabs>
        <w:ind w:left="360"/>
        <w:rPr>
          <w:sz w:val="22"/>
        </w:rPr>
      </w:pPr>
      <w:r w:rsidRPr="002F400D">
        <w:rPr>
          <w:sz w:val="22"/>
        </w:rPr>
        <w:t xml:space="preserve">Who is the intended audience for this volume? Be as realistic as possible about its audience and appeal.  Remember, </w:t>
      </w:r>
      <w:r w:rsidRPr="002F400D">
        <w:rPr>
          <w:i/>
          <w:sz w:val="22"/>
        </w:rPr>
        <w:t>AP3A</w:t>
      </w:r>
      <w:r w:rsidRPr="002F400D">
        <w:rPr>
          <w:sz w:val="22"/>
        </w:rPr>
        <w:t xml:space="preserve"> is distributed as a benefit of membership in the </w:t>
      </w:r>
      <w:r w:rsidR="004E636C">
        <w:rPr>
          <w:sz w:val="22"/>
        </w:rPr>
        <w:t>Archaeology</w:t>
      </w:r>
      <w:r w:rsidRPr="002F400D">
        <w:rPr>
          <w:sz w:val="22"/>
        </w:rPr>
        <w:t xml:space="preserve"> Division of the </w:t>
      </w:r>
      <w:proofErr w:type="gramStart"/>
      <w:r w:rsidRPr="002F400D">
        <w:rPr>
          <w:sz w:val="22"/>
        </w:rPr>
        <w:t>AAA, and</w:t>
      </w:r>
      <w:proofErr w:type="gramEnd"/>
      <w:r w:rsidRPr="002F400D">
        <w:rPr>
          <w:sz w:val="22"/>
        </w:rPr>
        <w:t xml:space="preserve"> therefore should have broad interest and relevance.</w:t>
      </w:r>
    </w:p>
    <w:p w14:paraId="51617AAC" w14:textId="77777777" w:rsidR="009B1440" w:rsidRPr="002F400D" w:rsidRDefault="009B1440" w:rsidP="009B1440">
      <w:pPr>
        <w:numPr>
          <w:ilvl w:val="0"/>
          <w:numId w:val="2"/>
        </w:numPr>
        <w:tabs>
          <w:tab w:val="clear" w:pos="720"/>
          <w:tab w:val="num" w:pos="360"/>
        </w:tabs>
        <w:ind w:left="360"/>
        <w:rPr>
          <w:sz w:val="22"/>
        </w:rPr>
      </w:pPr>
      <w:r w:rsidRPr="002F400D">
        <w:rPr>
          <w:sz w:val="22"/>
        </w:rPr>
        <w:t xml:space="preserve">Is this volume likely to be used in classes? If so, what kinds of courses, and at what level? </w:t>
      </w:r>
    </w:p>
    <w:p w14:paraId="5946AAA1" w14:textId="77777777" w:rsidR="009B1440" w:rsidRPr="002F400D" w:rsidRDefault="009B1440" w:rsidP="009B1440">
      <w:pPr>
        <w:numPr>
          <w:ilvl w:val="0"/>
          <w:numId w:val="2"/>
        </w:numPr>
        <w:tabs>
          <w:tab w:val="clear" w:pos="720"/>
          <w:tab w:val="num" w:pos="360"/>
        </w:tabs>
        <w:ind w:left="360"/>
        <w:rPr>
          <w:sz w:val="22"/>
        </w:rPr>
      </w:pPr>
      <w:r w:rsidRPr="002F400D">
        <w:rPr>
          <w:sz w:val="22"/>
        </w:rPr>
        <w:t xml:space="preserve">To what extent will the manuscript be useful to readers in other disciplines? </w:t>
      </w:r>
    </w:p>
    <w:p w14:paraId="45FB0818" w14:textId="77777777" w:rsidR="009B1440" w:rsidRPr="002F400D" w:rsidRDefault="009B1440" w:rsidP="009B1440">
      <w:pPr>
        <w:rPr>
          <w:sz w:val="22"/>
        </w:rPr>
      </w:pPr>
    </w:p>
    <w:p w14:paraId="3C47AD50" w14:textId="77777777" w:rsidR="009B1440" w:rsidRPr="002F400D" w:rsidRDefault="009B1440" w:rsidP="009B1440">
      <w:pPr>
        <w:rPr>
          <w:sz w:val="22"/>
        </w:rPr>
      </w:pPr>
      <w:r w:rsidRPr="002F400D">
        <w:rPr>
          <w:b/>
          <w:sz w:val="22"/>
        </w:rPr>
        <w:t>VI. Chapter Abstracts</w:t>
      </w:r>
      <w:r w:rsidRPr="002F400D">
        <w:rPr>
          <w:sz w:val="22"/>
        </w:rPr>
        <w:t xml:space="preserve">. </w:t>
      </w:r>
    </w:p>
    <w:p w14:paraId="5CBF6834" w14:textId="10FB7810" w:rsidR="009B1440" w:rsidRPr="002F400D" w:rsidRDefault="009B1440" w:rsidP="009B1440">
      <w:pPr>
        <w:rPr>
          <w:sz w:val="22"/>
        </w:rPr>
      </w:pPr>
      <w:r w:rsidRPr="002F400D">
        <w:rPr>
          <w:sz w:val="22"/>
        </w:rPr>
        <w:t>Each chapter should be described individually.  To adequately evaluate the volume, it is imperative that chapter abstracts provide full synopses of each chapter’s arguments, including not only the general ideas but also specifics about their analyses (methods, data) and conclusions</w:t>
      </w:r>
      <w:proofErr w:type="gramStart"/>
      <w:r w:rsidRPr="002F400D">
        <w:rPr>
          <w:sz w:val="22"/>
        </w:rPr>
        <w:t xml:space="preserve">.  </w:t>
      </w:r>
      <w:proofErr w:type="gramEnd"/>
      <w:r w:rsidRPr="002F400D">
        <w:rPr>
          <w:sz w:val="22"/>
        </w:rPr>
        <w:t xml:space="preserve">Also discuss how each chapter fits into the theme and organizational plan of the volume as a whole (however, if the latter overlaps appreciably with the Book Content/Overview section, it need not be repeated word for word). </w:t>
      </w:r>
      <w:r w:rsidRPr="002F400D">
        <w:rPr>
          <w:b/>
          <w:sz w:val="22"/>
          <w:u w:val="single"/>
        </w:rPr>
        <w:t>Note</w:t>
      </w:r>
      <w:r w:rsidRPr="002F400D">
        <w:rPr>
          <w:sz w:val="22"/>
          <w:u w:val="single"/>
        </w:rPr>
        <w:t>:</w:t>
      </w:r>
      <w:r w:rsidRPr="002F400D">
        <w:rPr>
          <w:sz w:val="22"/>
        </w:rPr>
        <w:t xml:space="preserve"> If the volume is based on papers originally presented at a professional meeting, editors are advised to not </w:t>
      </w:r>
      <w:r w:rsidR="00626989">
        <w:rPr>
          <w:sz w:val="22"/>
        </w:rPr>
        <w:t xml:space="preserve">to </w:t>
      </w:r>
      <w:r w:rsidRPr="002F400D">
        <w:rPr>
          <w:sz w:val="22"/>
        </w:rPr>
        <w:t>simply submit the package originally sent to the sponsoring organization but to ask contributors to rewrite their abstracts, including the greater detail requested above.</w:t>
      </w:r>
    </w:p>
    <w:p w14:paraId="049F31CB" w14:textId="77777777" w:rsidR="009B1440" w:rsidRPr="002F400D" w:rsidRDefault="009B1440" w:rsidP="009B1440">
      <w:pPr>
        <w:rPr>
          <w:sz w:val="22"/>
        </w:rPr>
      </w:pPr>
    </w:p>
    <w:p w14:paraId="61A8FE7A" w14:textId="77777777" w:rsidR="009B1440" w:rsidRPr="002F400D" w:rsidRDefault="009B1440" w:rsidP="009B1440">
      <w:pPr>
        <w:keepNext/>
        <w:keepLines/>
        <w:rPr>
          <w:sz w:val="22"/>
        </w:rPr>
      </w:pPr>
      <w:r w:rsidRPr="002F400D">
        <w:rPr>
          <w:b/>
          <w:sz w:val="22"/>
          <w:u w:val="single"/>
        </w:rPr>
        <w:lastRenderedPageBreak/>
        <w:t>SUBMISSIONS AND REVIEW</w:t>
      </w:r>
    </w:p>
    <w:p w14:paraId="21D404A2" w14:textId="77777777" w:rsidR="009B1440" w:rsidRPr="002F400D" w:rsidRDefault="009B1440" w:rsidP="009B1440">
      <w:pPr>
        <w:keepNext/>
        <w:keepLines/>
        <w:numPr>
          <w:ilvl w:val="0"/>
          <w:numId w:val="3"/>
        </w:numPr>
        <w:ind w:left="360"/>
        <w:rPr>
          <w:sz w:val="22"/>
        </w:rPr>
      </w:pPr>
      <w:r w:rsidRPr="002F400D">
        <w:rPr>
          <w:sz w:val="22"/>
        </w:rPr>
        <w:t xml:space="preserve">Prospectuses should be submitted to the AD Publications Director electronically as either PDFs or Word documents.  </w:t>
      </w:r>
    </w:p>
    <w:p w14:paraId="0A3B16B4" w14:textId="67A1DB0B" w:rsidR="009B1440" w:rsidRPr="00147049" w:rsidRDefault="009B1440" w:rsidP="009B1440">
      <w:pPr>
        <w:keepNext/>
        <w:keepLines/>
        <w:numPr>
          <w:ilvl w:val="0"/>
          <w:numId w:val="3"/>
        </w:numPr>
        <w:ind w:left="360"/>
        <w:rPr>
          <w:sz w:val="22"/>
        </w:rPr>
      </w:pPr>
      <w:r w:rsidRPr="00147049">
        <w:rPr>
          <w:sz w:val="22"/>
        </w:rPr>
        <w:t xml:space="preserve">Prospectuses are </w:t>
      </w:r>
      <w:r w:rsidR="00626989" w:rsidRPr="004E0018">
        <w:rPr>
          <w:i/>
          <w:iCs/>
          <w:sz w:val="22"/>
        </w:rPr>
        <w:t xml:space="preserve">generally </w:t>
      </w:r>
      <w:r w:rsidRPr="00147049">
        <w:rPr>
          <w:sz w:val="22"/>
        </w:rPr>
        <w:t xml:space="preserve">voted on twice annually, when the AD Executive Committee meets at the Annual Meeting of the American Anthropological Association (Fall) and </w:t>
      </w:r>
      <w:r w:rsidR="00A7011A" w:rsidRPr="00626989">
        <w:rPr>
          <w:sz w:val="22"/>
        </w:rPr>
        <w:t xml:space="preserve">virtually before the </w:t>
      </w:r>
      <w:r w:rsidRPr="00626989">
        <w:rPr>
          <w:sz w:val="22"/>
        </w:rPr>
        <w:t>Annual Meeting of the Society for American Archaeology (Spring).</w:t>
      </w:r>
      <w:r w:rsidRPr="00147049">
        <w:rPr>
          <w:sz w:val="22"/>
        </w:rPr>
        <w:t xml:space="preserve"> Under some circumstances, the Board might consider and vote on a prospectus electronically. </w:t>
      </w:r>
      <w:r w:rsidRPr="00626989">
        <w:rPr>
          <w:sz w:val="22"/>
        </w:rPr>
        <w:t xml:space="preserve">Editors/Authors should submit their prospectus </w:t>
      </w:r>
      <w:r w:rsidR="007715A9" w:rsidRPr="00626989">
        <w:rPr>
          <w:sz w:val="22"/>
        </w:rPr>
        <w:t>n</w:t>
      </w:r>
      <w:r w:rsidR="00D81787" w:rsidRPr="00626989">
        <w:rPr>
          <w:sz w:val="22"/>
        </w:rPr>
        <w:t>o less</w:t>
      </w:r>
      <w:r w:rsidR="007715A9" w:rsidRPr="00626989">
        <w:rPr>
          <w:sz w:val="22"/>
        </w:rPr>
        <w:t xml:space="preserve"> than</w:t>
      </w:r>
      <w:r w:rsidRPr="00626989">
        <w:rPr>
          <w:sz w:val="22"/>
        </w:rPr>
        <w:t xml:space="preserve"> six weeks before </w:t>
      </w:r>
      <w:r w:rsidR="00A7011A" w:rsidRPr="00626989">
        <w:rPr>
          <w:sz w:val="22"/>
        </w:rPr>
        <w:t>(see dates below)</w:t>
      </w:r>
      <w:r w:rsidR="00147049" w:rsidRPr="00147049">
        <w:rPr>
          <w:sz w:val="22"/>
        </w:rPr>
        <w:t xml:space="preserve"> t</w:t>
      </w:r>
      <w:r w:rsidRPr="00147049">
        <w:rPr>
          <w:sz w:val="22"/>
        </w:rPr>
        <w:t xml:space="preserve">he meeting at which they want </w:t>
      </w:r>
      <w:r w:rsidR="00D81787" w:rsidRPr="00147049">
        <w:rPr>
          <w:sz w:val="22"/>
        </w:rPr>
        <w:t xml:space="preserve">them </w:t>
      </w:r>
      <w:r w:rsidRPr="00147049">
        <w:rPr>
          <w:sz w:val="22"/>
        </w:rPr>
        <w:t xml:space="preserve">to be considered in order to allow the Publications Director and the Publications Committee sufficient time to read and evaluate. </w:t>
      </w:r>
      <w:r w:rsidR="004E0018" w:rsidRPr="00AA4693">
        <w:rPr>
          <w:i/>
          <w:iCs/>
          <w:sz w:val="22"/>
        </w:rPr>
        <w:t>Since we are currently in selection process for presses, there will be no submission round for the SAA 202</w:t>
      </w:r>
      <w:r w:rsidR="00AA4693" w:rsidRPr="00AA4693">
        <w:rPr>
          <w:i/>
          <w:iCs/>
          <w:sz w:val="22"/>
        </w:rPr>
        <w:t>6, only for AAA 2026.</w:t>
      </w:r>
      <w:r w:rsidR="00AA4693">
        <w:rPr>
          <w:sz w:val="22"/>
        </w:rPr>
        <w:t xml:space="preserve"> </w:t>
      </w:r>
      <w:r w:rsidRPr="00147049">
        <w:rPr>
          <w:sz w:val="22"/>
        </w:rPr>
        <w:t xml:space="preserve">Based on currently announced meeting dates, submission deadlines for the next </w:t>
      </w:r>
      <w:r w:rsidR="002D59F5">
        <w:rPr>
          <w:sz w:val="22"/>
        </w:rPr>
        <w:t xml:space="preserve">year </w:t>
      </w:r>
      <w:r w:rsidRPr="00147049">
        <w:rPr>
          <w:sz w:val="22"/>
        </w:rPr>
        <w:t>are expected to be:</w:t>
      </w:r>
    </w:p>
    <w:p w14:paraId="53128261" w14:textId="77777777" w:rsidR="002F400D" w:rsidRPr="002F400D" w:rsidRDefault="002F400D" w:rsidP="002F400D">
      <w:pPr>
        <w:keepNext/>
        <w:keepLines/>
        <w:ind w:left="360"/>
        <w:rPr>
          <w:sz w:val="22"/>
        </w:rPr>
      </w:pPr>
    </w:p>
    <w:p w14:paraId="62486C05" w14:textId="77777777" w:rsidR="009B1440" w:rsidRPr="002F400D" w:rsidRDefault="009B1440" w:rsidP="009B1440">
      <w:pPr>
        <w:rPr>
          <w:sz w:val="22"/>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96"/>
        <w:gridCol w:w="2796"/>
        <w:gridCol w:w="2796"/>
      </w:tblGrid>
      <w:tr w:rsidR="009B1440" w:rsidRPr="002F400D" w14:paraId="47B8FA9A" w14:textId="77777777" w:rsidTr="00626989">
        <w:tc>
          <w:tcPr>
            <w:tcW w:w="2796" w:type="dxa"/>
            <w:vAlign w:val="bottom"/>
          </w:tcPr>
          <w:p w14:paraId="3690665F" w14:textId="77777777" w:rsidR="009B1440" w:rsidRPr="002F400D" w:rsidRDefault="009B1440" w:rsidP="009B1440">
            <w:pPr>
              <w:jc w:val="center"/>
              <w:rPr>
                <w:sz w:val="22"/>
              </w:rPr>
            </w:pPr>
            <w:r w:rsidRPr="002F400D">
              <w:rPr>
                <w:sz w:val="22"/>
              </w:rPr>
              <w:t>Submission Round</w:t>
            </w:r>
          </w:p>
        </w:tc>
        <w:tc>
          <w:tcPr>
            <w:tcW w:w="2796" w:type="dxa"/>
            <w:vAlign w:val="bottom"/>
          </w:tcPr>
          <w:p w14:paraId="7677AD6B" w14:textId="77777777" w:rsidR="009B1440" w:rsidRPr="002F400D" w:rsidRDefault="009B1440" w:rsidP="009B1440">
            <w:pPr>
              <w:jc w:val="center"/>
              <w:rPr>
                <w:sz w:val="22"/>
              </w:rPr>
            </w:pPr>
            <w:r w:rsidRPr="002F400D">
              <w:rPr>
                <w:sz w:val="22"/>
              </w:rPr>
              <w:t>Meeting Date</w:t>
            </w:r>
          </w:p>
        </w:tc>
        <w:tc>
          <w:tcPr>
            <w:tcW w:w="2796" w:type="dxa"/>
            <w:vAlign w:val="bottom"/>
          </w:tcPr>
          <w:p w14:paraId="68C50A5E" w14:textId="0E5A61A0" w:rsidR="009B1440" w:rsidRPr="002F400D" w:rsidRDefault="009B1440" w:rsidP="009B1440">
            <w:pPr>
              <w:jc w:val="center"/>
              <w:rPr>
                <w:b/>
                <w:sz w:val="22"/>
              </w:rPr>
            </w:pPr>
            <w:r w:rsidRPr="002F400D">
              <w:rPr>
                <w:b/>
                <w:sz w:val="22"/>
              </w:rPr>
              <w:t xml:space="preserve">Anticipated </w:t>
            </w:r>
            <w:r w:rsidR="00A7011A">
              <w:rPr>
                <w:b/>
                <w:sz w:val="22"/>
              </w:rPr>
              <w:t xml:space="preserve">Prospectus </w:t>
            </w:r>
            <w:r w:rsidRPr="002F400D">
              <w:rPr>
                <w:b/>
                <w:sz w:val="22"/>
              </w:rPr>
              <w:t>Submission Deadline</w:t>
            </w:r>
          </w:p>
        </w:tc>
      </w:tr>
      <w:tr w:rsidR="006C6951" w:rsidRPr="002F400D" w14:paraId="5AC5DDF5" w14:textId="77777777" w:rsidTr="00626989">
        <w:tc>
          <w:tcPr>
            <w:tcW w:w="2796" w:type="dxa"/>
          </w:tcPr>
          <w:p w14:paraId="6EBAD199" w14:textId="09B54378" w:rsidR="006C6951" w:rsidRPr="002F400D" w:rsidRDefault="00E83AF0" w:rsidP="0868C258">
            <w:pPr>
              <w:rPr>
                <w:sz w:val="22"/>
              </w:rPr>
            </w:pPr>
            <w:r>
              <w:rPr>
                <w:sz w:val="22"/>
              </w:rPr>
              <w:t>Fall</w:t>
            </w:r>
            <w:r w:rsidR="0868C258" w:rsidRPr="0868C258">
              <w:rPr>
                <w:sz w:val="22"/>
              </w:rPr>
              <w:t xml:space="preserve"> 202</w:t>
            </w:r>
            <w:r w:rsidR="00F42E0C">
              <w:rPr>
                <w:sz w:val="22"/>
              </w:rPr>
              <w:t>6</w:t>
            </w:r>
            <w:r w:rsidR="0868C258" w:rsidRPr="0868C258">
              <w:rPr>
                <w:sz w:val="22"/>
              </w:rPr>
              <w:t xml:space="preserve"> (</w:t>
            </w:r>
            <w:r>
              <w:rPr>
                <w:sz w:val="22"/>
              </w:rPr>
              <w:t>A</w:t>
            </w:r>
            <w:r w:rsidR="0868C258" w:rsidRPr="0868C258">
              <w:rPr>
                <w:sz w:val="22"/>
              </w:rPr>
              <w:t>AA)</w:t>
            </w:r>
          </w:p>
        </w:tc>
        <w:tc>
          <w:tcPr>
            <w:tcW w:w="2796" w:type="dxa"/>
          </w:tcPr>
          <w:p w14:paraId="57576AE4" w14:textId="39E0D8BA" w:rsidR="006C6951" w:rsidRPr="002F400D" w:rsidRDefault="00FD28B3" w:rsidP="0868C258">
            <w:pPr>
              <w:rPr>
                <w:sz w:val="22"/>
              </w:rPr>
            </w:pPr>
            <w:r>
              <w:rPr>
                <w:sz w:val="22"/>
              </w:rPr>
              <w:t>Nov 18-2</w:t>
            </w:r>
            <w:r w:rsidR="00A04F19">
              <w:rPr>
                <w:sz w:val="22"/>
              </w:rPr>
              <w:t>2</w:t>
            </w:r>
            <w:r w:rsidR="0868C258" w:rsidRPr="0868C258">
              <w:rPr>
                <w:sz w:val="22"/>
              </w:rPr>
              <w:t>, 202</w:t>
            </w:r>
            <w:r>
              <w:rPr>
                <w:sz w:val="22"/>
              </w:rPr>
              <w:t>6</w:t>
            </w:r>
          </w:p>
        </w:tc>
        <w:tc>
          <w:tcPr>
            <w:tcW w:w="2796" w:type="dxa"/>
          </w:tcPr>
          <w:p w14:paraId="55262C04" w14:textId="5E4B7598" w:rsidR="006C6951" w:rsidRPr="002F400D" w:rsidRDefault="00A04F19" w:rsidP="0868C258">
            <w:pPr>
              <w:rPr>
                <w:b/>
                <w:bCs/>
                <w:sz w:val="22"/>
              </w:rPr>
            </w:pPr>
            <w:r>
              <w:rPr>
                <w:b/>
                <w:bCs/>
                <w:sz w:val="22"/>
              </w:rPr>
              <w:t>October 5</w:t>
            </w:r>
            <w:r w:rsidR="0868C258" w:rsidRPr="0868C258">
              <w:rPr>
                <w:b/>
                <w:bCs/>
                <w:sz w:val="22"/>
              </w:rPr>
              <w:t>, 202</w:t>
            </w:r>
            <w:r>
              <w:rPr>
                <w:b/>
                <w:bCs/>
                <w:sz w:val="22"/>
              </w:rPr>
              <w:t>6</w:t>
            </w:r>
          </w:p>
        </w:tc>
      </w:tr>
      <w:tr w:rsidR="006C6951" w:rsidRPr="002F400D" w14:paraId="4C5B1E5F" w14:textId="77777777" w:rsidTr="00626989">
        <w:tc>
          <w:tcPr>
            <w:tcW w:w="2796" w:type="dxa"/>
          </w:tcPr>
          <w:p w14:paraId="68372D90" w14:textId="4A26CC32" w:rsidR="006C6951" w:rsidRPr="002F400D" w:rsidRDefault="00E83AF0" w:rsidP="0868C258">
            <w:pPr>
              <w:rPr>
                <w:sz w:val="22"/>
              </w:rPr>
            </w:pPr>
            <w:r>
              <w:rPr>
                <w:sz w:val="22"/>
              </w:rPr>
              <w:t>Spring</w:t>
            </w:r>
            <w:r w:rsidR="0868C258" w:rsidRPr="0868C258">
              <w:rPr>
                <w:sz w:val="22"/>
              </w:rPr>
              <w:t xml:space="preserve"> 202</w:t>
            </w:r>
            <w:r w:rsidR="00F42E0C">
              <w:rPr>
                <w:sz w:val="22"/>
              </w:rPr>
              <w:t>7</w:t>
            </w:r>
            <w:r w:rsidR="0868C258" w:rsidRPr="0868C258">
              <w:rPr>
                <w:sz w:val="22"/>
              </w:rPr>
              <w:t xml:space="preserve"> (</w:t>
            </w:r>
            <w:r>
              <w:rPr>
                <w:sz w:val="22"/>
              </w:rPr>
              <w:t>S</w:t>
            </w:r>
            <w:r w:rsidR="0868C258" w:rsidRPr="0868C258">
              <w:rPr>
                <w:sz w:val="22"/>
              </w:rPr>
              <w:t>AA)</w:t>
            </w:r>
          </w:p>
        </w:tc>
        <w:tc>
          <w:tcPr>
            <w:tcW w:w="2796" w:type="dxa"/>
          </w:tcPr>
          <w:p w14:paraId="34221839" w14:textId="55840EFA" w:rsidR="006C6951" w:rsidRPr="002F400D" w:rsidRDefault="00A7011A" w:rsidP="0868C258">
            <w:pPr>
              <w:rPr>
                <w:sz w:val="22"/>
              </w:rPr>
            </w:pPr>
            <w:r>
              <w:rPr>
                <w:sz w:val="22"/>
              </w:rPr>
              <w:t>April 1</w:t>
            </w:r>
            <w:r w:rsidR="00FD28B3" w:rsidRPr="0868C258">
              <w:rPr>
                <w:sz w:val="22"/>
              </w:rPr>
              <w:t>, 202</w:t>
            </w:r>
            <w:r w:rsidR="00790E1E">
              <w:rPr>
                <w:sz w:val="22"/>
              </w:rPr>
              <w:t>7</w:t>
            </w:r>
          </w:p>
        </w:tc>
        <w:tc>
          <w:tcPr>
            <w:tcW w:w="2796" w:type="dxa"/>
          </w:tcPr>
          <w:p w14:paraId="47C84402" w14:textId="67C221B1" w:rsidR="006C6951" w:rsidRPr="002F400D" w:rsidRDefault="00A7011A" w:rsidP="0868C258">
            <w:pPr>
              <w:rPr>
                <w:b/>
                <w:bCs/>
                <w:sz w:val="22"/>
              </w:rPr>
            </w:pPr>
            <w:r>
              <w:rPr>
                <w:b/>
                <w:bCs/>
                <w:sz w:val="22"/>
              </w:rPr>
              <w:t>February 4</w:t>
            </w:r>
            <w:r w:rsidR="00FD28B3" w:rsidRPr="0868C258">
              <w:rPr>
                <w:b/>
                <w:bCs/>
                <w:sz w:val="22"/>
              </w:rPr>
              <w:t>, 202</w:t>
            </w:r>
            <w:r w:rsidR="00E7112C">
              <w:rPr>
                <w:b/>
                <w:bCs/>
                <w:sz w:val="22"/>
              </w:rPr>
              <w:t>7</w:t>
            </w:r>
          </w:p>
        </w:tc>
      </w:tr>
    </w:tbl>
    <w:p w14:paraId="4101652C" w14:textId="77777777" w:rsidR="009B1440" w:rsidRPr="002F400D" w:rsidRDefault="009B1440" w:rsidP="009B1440">
      <w:pPr>
        <w:rPr>
          <w:sz w:val="22"/>
        </w:rPr>
      </w:pPr>
    </w:p>
    <w:p w14:paraId="71E4F95B" w14:textId="77777777" w:rsidR="009B1440" w:rsidRPr="002F400D" w:rsidRDefault="009B1440" w:rsidP="009B1440">
      <w:pPr>
        <w:ind w:left="360"/>
        <w:rPr>
          <w:sz w:val="22"/>
        </w:rPr>
      </w:pPr>
      <w:r w:rsidRPr="002F400D">
        <w:rPr>
          <w:sz w:val="22"/>
        </w:rPr>
        <w:t>Please contact the AD Publications Director to verify these dates.</w:t>
      </w:r>
    </w:p>
    <w:p w14:paraId="4B99056E" w14:textId="77777777" w:rsidR="009B1440" w:rsidRPr="002F400D" w:rsidRDefault="009B1440" w:rsidP="009B1440">
      <w:pPr>
        <w:rPr>
          <w:sz w:val="22"/>
        </w:rPr>
      </w:pPr>
    </w:p>
    <w:p w14:paraId="2DF264AD" w14:textId="729E3E11" w:rsidR="002F400D" w:rsidRPr="002F400D" w:rsidRDefault="002F400D" w:rsidP="009B1440">
      <w:pPr>
        <w:rPr>
          <w:sz w:val="22"/>
        </w:rPr>
      </w:pPr>
      <w:r w:rsidRPr="004E0018">
        <w:rPr>
          <w:b/>
          <w:bCs/>
          <w:sz w:val="22"/>
          <w:u w:val="single"/>
        </w:rPr>
        <w:t>COPYRIGHT AGREEMENTS</w:t>
      </w:r>
      <w:r w:rsidRPr="004E0018">
        <w:rPr>
          <w:b/>
          <w:sz w:val="22"/>
          <w:u w:val="single"/>
        </w:rPr>
        <w:br/>
      </w:r>
      <w:r w:rsidRPr="004E0018">
        <w:rPr>
          <w:sz w:val="22"/>
        </w:rPr>
        <w:t>If </w:t>
      </w:r>
      <w:r w:rsidRPr="004E0018">
        <w:rPr>
          <w:bCs/>
          <w:sz w:val="22"/>
        </w:rPr>
        <w:t>the volume</w:t>
      </w:r>
      <w:r w:rsidRPr="004E0018">
        <w:rPr>
          <w:sz w:val="22"/>
        </w:rPr>
        <w:t> is accepted, the author identified as the formal corresponding author for </w:t>
      </w:r>
      <w:r w:rsidRPr="004E0018">
        <w:rPr>
          <w:bCs/>
          <w:sz w:val="22"/>
        </w:rPr>
        <w:t>each</w:t>
      </w:r>
      <w:r w:rsidRPr="004E0018">
        <w:rPr>
          <w:sz w:val="22"/>
        </w:rPr>
        <w:t xml:space="preserve"> paper will receive an email </w:t>
      </w:r>
      <w:r w:rsidR="004E0018" w:rsidRPr="004E0018">
        <w:rPr>
          <w:sz w:val="22"/>
        </w:rPr>
        <w:t xml:space="preserve">with further information regarding the copyright agreement. </w:t>
      </w:r>
      <w:r w:rsidR="004E0018">
        <w:rPr>
          <w:sz w:val="22"/>
        </w:rPr>
        <w:t>Additional</w:t>
      </w:r>
      <w:r w:rsidR="004E0018" w:rsidRPr="004E0018">
        <w:rPr>
          <w:sz w:val="22"/>
        </w:rPr>
        <w:t xml:space="preserve"> details will be highlighted once </w:t>
      </w:r>
      <w:r w:rsidR="004E0018">
        <w:rPr>
          <w:sz w:val="22"/>
        </w:rPr>
        <w:t xml:space="preserve">the </w:t>
      </w:r>
      <w:r w:rsidR="004E0018" w:rsidRPr="004E0018">
        <w:rPr>
          <w:sz w:val="22"/>
        </w:rPr>
        <w:t>next press is selected</w:t>
      </w:r>
      <w:r w:rsidR="004E0018">
        <w:rPr>
          <w:sz w:val="22"/>
        </w:rPr>
        <w:t>,</w:t>
      </w:r>
      <w:r w:rsidR="004E0018" w:rsidRPr="004E0018">
        <w:rPr>
          <w:sz w:val="22"/>
        </w:rPr>
        <w:t xml:space="preserve"> and formal arrangements have been made</w:t>
      </w:r>
      <w:r w:rsidR="004E0018">
        <w:rPr>
          <w:sz w:val="22"/>
        </w:rPr>
        <w:t xml:space="preserve"> with AAA.</w:t>
      </w:r>
    </w:p>
    <w:p w14:paraId="1299C43A" w14:textId="77777777" w:rsidR="002F400D" w:rsidRPr="002F400D" w:rsidRDefault="002F400D" w:rsidP="009B1440">
      <w:pPr>
        <w:rPr>
          <w:b/>
          <w:sz w:val="22"/>
          <w:u w:val="single"/>
        </w:rPr>
      </w:pPr>
    </w:p>
    <w:p w14:paraId="01CC2E19" w14:textId="77777777" w:rsidR="009B1440" w:rsidRPr="002F400D" w:rsidRDefault="009B1440" w:rsidP="009B1440">
      <w:pPr>
        <w:rPr>
          <w:b/>
          <w:sz w:val="22"/>
          <w:u w:val="single"/>
        </w:rPr>
      </w:pPr>
      <w:r w:rsidRPr="002F400D">
        <w:rPr>
          <w:b/>
          <w:sz w:val="22"/>
          <w:u w:val="single"/>
        </w:rPr>
        <w:t>QUERIES</w:t>
      </w:r>
    </w:p>
    <w:p w14:paraId="43C35CB2" w14:textId="206AD4DB" w:rsidR="009B1440" w:rsidRPr="002F400D" w:rsidRDefault="009B1440" w:rsidP="009B1440">
      <w:pPr>
        <w:rPr>
          <w:sz w:val="22"/>
        </w:rPr>
      </w:pPr>
      <w:r w:rsidRPr="002F400D">
        <w:rPr>
          <w:sz w:val="22"/>
        </w:rPr>
        <w:t xml:space="preserve">Potential contributors are invited to contact the Publications Director prior to submission to discuss the suitability of a proposed volume for the series. The Publications Director can generally review a prospectus for </w:t>
      </w:r>
      <w:r w:rsidR="00F42E0C" w:rsidRPr="002F400D">
        <w:rPr>
          <w:sz w:val="22"/>
        </w:rPr>
        <w:t>completeness but</w:t>
      </w:r>
      <w:r w:rsidRPr="002F400D">
        <w:rPr>
          <w:sz w:val="22"/>
        </w:rPr>
        <w:t xml:space="preserve"> cannot comment on its likelihood of acceptance or rejection prior to a formal vote by the AD Executive Committee. The most efficient way to contact the Publications Director is via email.</w:t>
      </w:r>
    </w:p>
    <w:p w14:paraId="4DDBEF00" w14:textId="77777777" w:rsidR="009B1440" w:rsidRPr="002F400D" w:rsidRDefault="009B1440" w:rsidP="009B1440">
      <w:pPr>
        <w:rPr>
          <w:sz w:val="22"/>
        </w:rPr>
      </w:pPr>
    </w:p>
    <w:p w14:paraId="44BB4BBF" w14:textId="77777777" w:rsidR="009B1440" w:rsidRPr="002F400D" w:rsidRDefault="009B1440" w:rsidP="009B1440">
      <w:pPr>
        <w:rPr>
          <w:sz w:val="22"/>
          <w:u w:val="single"/>
        </w:rPr>
      </w:pPr>
      <w:r w:rsidRPr="002F400D">
        <w:rPr>
          <w:sz w:val="22"/>
          <w:u w:val="single"/>
        </w:rPr>
        <w:t>AD Publications Director:</w:t>
      </w:r>
    </w:p>
    <w:p w14:paraId="7FF362F4" w14:textId="066E1F91" w:rsidR="009B1440" w:rsidRPr="00AE2FD6" w:rsidRDefault="00F42E0C" w:rsidP="0868C258">
      <w:pPr>
        <w:rPr>
          <w:sz w:val="22"/>
        </w:rPr>
      </w:pPr>
      <w:r>
        <w:rPr>
          <w:sz w:val="22"/>
        </w:rPr>
        <w:t>Kelly M Britt</w:t>
      </w:r>
    </w:p>
    <w:p w14:paraId="7939DC17" w14:textId="77777777" w:rsidR="00F42E0C" w:rsidRDefault="0868C258" w:rsidP="0868C258">
      <w:pPr>
        <w:rPr>
          <w:sz w:val="22"/>
        </w:rPr>
      </w:pPr>
      <w:r w:rsidRPr="0868C258">
        <w:rPr>
          <w:sz w:val="22"/>
        </w:rPr>
        <w:t xml:space="preserve">Department of Anthropology, </w:t>
      </w:r>
      <w:r w:rsidR="00F42E0C">
        <w:rPr>
          <w:sz w:val="22"/>
        </w:rPr>
        <w:t>Brooklyn College</w:t>
      </w:r>
    </w:p>
    <w:p w14:paraId="0BF6BA9F" w14:textId="212C6D2F" w:rsidR="00F42E0C" w:rsidRDefault="00F42E0C" w:rsidP="0868C258">
      <w:pPr>
        <w:rPr>
          <w:sz w:val="22"/>
        </w:rPr>
      </w:pPr>
      <w:r>
        <w:rPr>
          <w:sz w:val="22"/>
        </w:rPr>
        <w:t>2900 Bedford Avenue, James 3307</w:t>
      </w:r>
    </w:p>
    <w:p w14:paraId="4AD53DFB" w14:textId="0DF5E8D3" w:rsidR="0868C258" w:rsidRDefault="00F42E0C" w:rsidP="0868C258">
      <w:pPr>
        <w:rPr>
          <w:sz w:val="22"/>
        </w:rPr>
      </w:pPr>
      <w:r>
        <w:rPr>
          <w:sz w:val="22"/>
        </w:rPr>
        <w:t>Brooklyn, NY 11233</w:t>
      </w:r>
    </w:p>
    <w:p w14:paraId="26C72BC7" w14:textId="44CF2EE7" w:rsidR="00F42E0C" w:rsidRDefault="00F42E0C" w:rsidP="0868C258">
      <w:pPr>
        <w:rPr>
          <w:sz w:val="22"/>
        </w:rPr>
      </w:pPr>
      <w:r>
        <w:rPr>
          <w:sz w:val="22"/>
        </w:rPr>
        <w:t>Kellym.britt@brooklyn.cuny.edu</w:t>
      </w:r>
    </w:p>
    <w:sectPr w:rsidR="00F42E0C" w:rsidSect="009B1440">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ED7686" w14:textId="77777777" w:rsidR="00AA56EF" w:rsidRDefault="00AA56EF" w:rsidP="009B1440">
      <w:r>
        <w:separator/>
      </w:r>
    </w:p>
  </w:endnote>
  <w:endnote w:type="continuationSeparator" w:id="0">
    <w:p w14:paraId="3FAA8B1F" w14:textId="77777777" w:rsidR="00AA56EF" w:rsidRDefault="00AA56EF" w:rsidP="009B14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A1478" w14:textId="2C402BF1" w:rsidR="00F42E0C" w:rsidRPr="00F42E0C" w:rsidRDefault="009B1440" w:rsidP="009B1440">
    <w:pPr>
      <w:pStyle w:val="Footer"/>
      <w:rPr>
        <w:sz w:val="20"/>
        <w:lang w:val="en-US"/>
      </w:rPr>
    </w:pPr>
    <w:r w:rsidRPr="00B62601">
      <w:rPr>
        <w:sz w:val="20"/>
      </w:rPr>
      <w:t xml:space="preserve">Page </w:t>
    </w:r>
    <w:r w:rsidRPr="00B62601">
      <w:rPr>
        <w:rStyle w:val="PageNumber"/>
        <w:sz w:val="20"/>
      </w:rPr>
      <w:fldChar w:fldCharType="begin"/>
    </w:r>
    <w:r w:rsidRPr="00B62601">
      <w:rPr>
        <w:rStyle w:val="PageNumber"/>
        <w:sz w:val="20"/>
      </w:rPr>
      <w:instrText xml:space="preserve"> PAGE </w:instrText>
    </w:r>
    <w:r w:rsidRPr="00B62601">
      <w:rPr>
        <w:rStyle w:val="PageNumber"/>
        <w:sz w:val="20"/>
      </w:rPr>
      <w:fldChar w:fldCharType="separate"/>
    </w:r>
    <w:r w:rsidR="00C86B37">
      <w:rPr>
        <w:rStyle w:val="PageNumber"/>
        <w:noProof/>
        <w:sz w:val="20"/>
      </w:rPr>
      <w:t>3</w:t>
    </w:r>
    <w:r w:rsidRPr="00B62601">
      <w:rPr>
        <w:rStyle w:val="PageNumber"/>
        <w:sz w:val="20"/>
      </w:rPr>
      <w:fldChar w:fldCharType="end"/>
    </w:r>
    <w:r>
      <w:rPr>
        <w:rStyle w:val="PageNumber"/>
      </w:rPr>
      <w:tab/>
    </w:r>
    <w:r>
      <w:rPr>
        <w:rStyle w:val="PageNumber"/>
      </w:rPr>
      <w:tab/>
    </w:r>
    <w:r w:rsidRPr="00DD7971">
      <w:rPr>
        <w:sz w:val="20"/>
      </w:rPr>
      <w:t xml:space="preserve">Revised </w:t>
    </w:r>
    <w:r w:rsidR="00F42E0C">
      <w:rPr>
        <w:sz w:val="20"/>
        <w:lang w:val="en-US"/>
      </w:rPr>
      <w:t>January 2026</w:t>
    </w:r>
  </w:p>
  <w:p w14:paraId="0FB78278" w14:textId="77777777" w:rsidR="009B1440" w:rsidRDefault="009B14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97B249" w14:textId="77777777" w:rsidR="00AA56EF" w:rsidRDefault="00AA56EF" w:rsidP="009B1440">
      <w:r>
        <w:separator/>
      </w:r>
    </w:p>
  </w:footnote>
  <w:footnote w:type="continuationSeparator" w:id="0">
    <w:p w14:paraId="79A48613" w14:textId="77777777" w:rsidR="00AA56EF" w:rsidRDefault="00AA56EF" w:rsidP="009B14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DDEC85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6C9555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79173D49"/>
    <w:multiLevelType w:val="hybridMultilevel"/>
    <w:tmpl w:val="9E3036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D90E8F"/>
    <w:multiLevelType w:val="hybridMultilevel"/>
    <w:tmpl w:val="26C241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16cid:durableId="1150750396">
    <w:abstractNumId w:val="1"/>
  </w:num>
  <w:num w:numId="2" w16cid:durableId="79186342">
    <w:abstractNumId w:val="2"/>
  </w:num>
  <w:num w:numId="3" w16cid:durableId="580262513">
    <w:abstractNumId w:val="3"/>
  </w:num>
  <w:num w:numId="4" w16cid:durableId="5207770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D61"/>
    <w:rsid w:val="000516BF"/>
    <w:rsid w:val="00057549"/>
    <w:rsid w:val="000904BB"/>
    <w:rsid w:val="000C6B95"/>
    <w:rsid w:val="00106C1B"/>
    <w:rsid w:val="00146890"/>
    <w:rsid w:val="00147049"/>
    <w:rsid w:val="00156A88"/>
    <w:rsid w:val="00182B8F"/>
    <w:rsid w:val="001A10FF"/>
    <w:rsid w:val="001B24EC"/>
    <w:rsid w:val="001C7357"/>
    <w:rsid w:val="001C7956"/>
    <w:rsid w:val="00242988"/>
    <w:rsid w:val="002538D6"/>
    <w:rsid w:val="00286502"/>
    <w:rsid w:val="00286678"/>
    <w:rsid w:val="002D59F5"/>
    <w:rsid w:val="002F400D"/>
    <w:rsid w:val="003006C0"/>
    <w:rsid w:val="0033386E"/>
    <w:rsid w:val="0034481A"/>
    <w:rsid w:val="00357864"/>
    <w:rsid w:val="00381437"/>
    <w:rsid w:val="00416838"/>
    <w:rsid w:val="004A5550"/>
    <w:rsid w:val="004E0018"/>
    <w:rsid w:val="004E636C"/>
    <w:rsid w:val="004F2775"/>
    <w:rsid w:val="004F4D2E"/>
    <w:rsid w:val="0052509F"/>
    <w:rsid w:val="00626989"/>
    <w:rsid w:val="00630288"/>
    <w:rsid w:val="00693B54"/>
    <w:rsid w:val="006C6951"/>
    <w:rsid w:val="006D5B14"/>
    <w:rsid w:val="007022B3"/>
    <w:rsid w:val="00746D61"/>
    <w:rsid w:val="007715A9"/>
    <w:rsid w:val="00790E1E"/>
    <w:rsid w:val="007B0011"/>
    <w:rsid w:val="0081004F"/>
    <w:rsid w:val="00860394"/>
    <w:rsid w:val="00883B19"/>
    <w:rsid w:val="00906170"/>
    <w:rsid w:val="00922A2D"/>
    <w:rsid w:val="00956A89"/>
    <w:rsid w:val="00971CC3"/>
    <w:rsid w:val="009B1440"/>
    <w:rsid w:val="009D6431"/>
    <w:rsid w:val="00A04F19"/>
    <w:rsid w:val="00A53F64"/>
    <w:rsid w:val="00A7011A"/>
    <w:rsid w:val="00A969CA"/>
    <w:rsid w:val="00AA4693"/>
    <w:rsid w:val="00AA56EF"/>
    <w:rsid w:val="00AD2FAA"/>
    <w:rsid w:val="00B113B1"/>
    <w:rsid w:val="00B3361C"/>
    <w:rsid w:val="00BE2B1E"/>
    <w:rsid w:val="00C86B37"/>
    <w:rsid w:val="00CC3C5A"/>
    <w:rsid w:val="00CC54E5"/>
    <w:rsid w:val="00D10A94"/>
    <w:rsid w:val="00D15E04"/>
    <w:rsid w:val="00D81787"/>
    <w:rsid w:val="00DF1D50"/>
    <w:rsid w:val="00DF514D"/>
    <w:rsid w:val="00E231CB"/>
    <w:rsid w:val="00E33CAA"/>
    <w:rsid w:val="00E478D7"/>
    <w:rsid w:val="00E7112C"/>
    <w:rsid w:val="00E83AF0"/>
    <w:rsid w:val="00EE40AA"/>
    <w:rsid w:val="00EF35D2"/>
    <w:rsid w:val="00F16F01"/>
    <w:rsid w:val="00F42E0C"/>
    <w:rsid w:val="00F66ED7"/>
    <w:rsid w:val="00F86EB5"/>
    <w:rsid w:val="00FD28B3"/>
    <w:rsid w:val="0868C25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371738"/>
  <w14:defaultImageDpi w14:val="300"/>
  <w15:chartTrackingRefBased/>
  <w15:docId w15:val="{B995AC05-E429-4AFD-84B7-628988212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59C"/>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46D61"/>
    <w:rPr>
      <w:rFonts w:ascii="Tahoma" w:hAnsi="Tahoma"/>
      <w:sz w:val="16"/>
      <w:szCs w:val="16"/>
      <w:lang w:val="x-none" w:eastAsia="x-none"/>
    </w:rPr>
  </w:style>
  <w:style w:type="character" w:customStyle="1" w:styleId="BalloonTextChar">
    <w:name w:val="Balloon Text Char"/>
    <w:link w:val="BalloonText"/>
    <w:uiPriority w:val="99"/>
    <w:semiHidden/>
    <w:rsid w:val="00746D61"/>
    <w:rPr>
      <w:rFonts w:ascii="Tahoma" w:hAnsi="Tahoma" w:cs="Tahoma"/>
      <w:sz w:val="16"/>
      <w:szCs w:val="16"/>
    </w:rPr>
  </w:style>
  <w:style w:type="character" w:styleId="Hyperlink">
    <w:name w:val="Hyperlink"/>
    <w:uiPriority w:val="99"/>
    <w:unhideWhenUsed/>
    <w:rsid w:val="00AE2FD6"/>
    <w:rPr>
      <w:color w:val="0000FF"/>
      <w:u w:val="single"/>
    </w:rPr>
  </w:style>
  <w:style w:type="paragraph" w:styleId="Header">
    <w:name w:val="header"/>
    <w:basedOn w:val="Normal"/>
    <w:link w:val="HeaderChar"/>
    <w:uiPriority w:val="99"/>
    <w:unhideWhenUsed/>
    <w:rsid w:val="00DD7971"/>
    <w:pPr>
      <w:tabs>
        <w:tab w:val="center" w:pos="4680"/>
        <w:tab w:val="right" w:pos="9360"/>
      </w:tabs>
    </w:pPr>
    <w:rPr>
      <w:lang w:val="x-none" w:eastAsia="x-none"/>
    </w:rPr>
  </w:style>
  <w:style w:type="character" w:customStyle="1" w:styleId="HeaderChar">
    <w:name w:val="Header Char"/>
    <w:link w:val="Header"/>
    <w:uiPriority w:val="99"/>
    <w:rsid w:val="00DD7971"/>
    <w:rPr>
      <w:sz w:val="24"/>
      <w:szCs w:val="22"/>
    </w:rPr>
  </w:style>
  <w:style w:type="paragraph" w:styleId="Footer">
    <w:name w:val="footer"/>
    <w:basedOn w:val="Normal"/>
    <w:link w:val="FooterChar"/>
    <w:uiPriority w:val="99"/>
    <w:unhideWhenUsed/>
    <w:rsid w:val="00DD7971"/>
    <w:pPr>
      <w:tabs>
        <w:tab w:val="center" w:pos="4680"/>
        <w:tab w:val="right" w:pos="9360"/>
      </w:tabs>
    </w:pPr>
    <w:rPr>
      <w:lang w:val="x-none" w:eastAsia="x-none"/>
    </w:rPr>
  </w:style>
  <w:style w:type="character" w:customStyle="1" w:styleId="FooterChar">
    <w:name w:val="Footer Char"/>
    <w:link w:val="Footer"/>
    <w:uiPriority w:val="99"/>
    <w:rsid w:val="00DD7971"/>
    <w:rPr>
      <w:sz w:val="24"/>
      <w:szCs w:val="22"/>
    </w:rPr>
  </w:style>
  <w:style w:type="table" w:styleId="TableGrid">
    <w:name w:val="Table Grid"/>
    <w:basedOn w:val="TableNormal"/>
    <w:uiPriority w:val="59"/>
    <w:rsid w:val="00DD797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uiPriority w:val="99"/>
    <w:semiHidden/>
    <w:unhideWhenUsed/>
    <w:rsid w:val="00B62601"/>
  </w:style>
  <w:style w:type="character" w:styleId="FollowedHyperlink">
    <w:name w:val="FollowedHyperlink"/>
    <w:uiPriority w:val="99"/>
    <w:semiHidden/>
    <w:unhideWhenUsed/>
    <w:rsid w:val="00D8178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1141</Words>
  <Characters>6495</Characters>
  <Application>Microsoft Office Word</Application>
  <DocSecurity>0</DocSecurity>
  <Lines>135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Costin</dc:creator>
  <cp:keywords/>
  <cp:lastModifiedBy>Kelly Britt</cp:lastModifiedBy>
  <cp:revision>3</cp:revision>
  <cp:lastPrinted>2018-04-23T17:00:00Z</cp:lastPrinted>
  <dcterms:created xsi:type="dcterms:W3CDTF">2026-02-18T14:52:00Z</dcterms:created>
  <dcterms:modified xsi:type="dcterms:W3CDTF">2026-02-18T14:54:00Z</dcterms:modified>
</cp:coreProperties>
</file>